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8720" w14:textId="77777777" w:rsidR="00363877" w:rsidRPr="00FA6546" w:rsidRDefault="008E6CC1" w:rsidP="00FA6546">
      <w:pPr>
        <w:spacing w:after="0" w:line="288" w:lineRule="auto"/>
        <w:ind w:left="467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Hlk164846317"/>
      <w:bookmarkEnd w:id="0"/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Ректору Бухарского Государственного Медицинского Института имени Абу али Ибн Сина </w:t>
      </w:r>
    </w:p>
    <w:p w14:paraId="292D865D" w14:textId="03FF611F" w:rsidR="008E6CC1" w:rsidRPr="00FA6546" w:rsidRDefault="008E6CC1" w:rsidP="00FA6546">
      <w:pPr>
        <w:spacing w:after="0" w:line="288" w:lineRule="auto"/>
        <w:ind w:left="467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профессору </w:t>
      </w:r>
      <w:proofErr w:type="spellStart"/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Тешаеву</w:t>
      </w:r>
      <w:proofErr w:type="spellEnd"/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Ш.Ж.</w:t>
      </w:r>
    </w:p>
    <w:p w14:paraId="528874A0" w14:textId="5713573F" w:rsidR="008E6CC1" w:rsidRPr="00FA6546" w:rsidRDefault="008E6CC1" w:rsidP="00FA6546">
      <w:pPr>
        <w:spacing w:after="0" w:line="288" w:lineRule="auto"/>
        <w:ind w:left="467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от доцента кафедры </w:t>
      </w:r>
      <w:r w:rsidR="00DE2E58"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«Семейная медицина в </w:t>
      </w:r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акушерств</w:t>
      </w:r>
      <w:r w:rsidR="00DE2E58"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</w:t>
      </w:r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 гинекологии</w:t>
      </w:r>
      <w:r w:rsidR="00DE2E58"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Хотамовой</w:t>
      </w:r>
      <w:proofErr w:type="spellEnd"/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М.Т.</w:t>
      </w:r>
    </w:p>
    <w:p w14:paraId="2FDB69E8" w14:textId="0F7AAA8C" w:rsidR="008E6CC1" w:rsidRPr="00FA6546" w:rsidRDefault="008E6CC1" w:rsidP="008E6CC1">
      <w:pPr>
        <w:spacing w:before="240"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Т Ч Ё Т</w:t>
      </w:r>
    </w:p>
    <w:p w14:paraId="1101424B" w14:textId="21AAC545" w:rsidR="00430E13" w:rsidRPr="00FA6546" w:rsidRDefault="00430E13" w:rsidP="008E6CC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основе договора между 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университет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Мухтара Ауэзова 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городе </w:t>
      </w:r>
      <w:r w:rsidR="00001859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Чимкент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01859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Республики Казахстан и Бухарского Государственного Медицинского института </w:t>
      </w:r>
      <w:r w:rsidR="002337E2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сфере 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обмена опытом и </w:t>
      </w:r>
      <w:r w:rsidR="00001859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повышения квалификации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доцент кафедры 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«Семейная медицина в акушерстве и гинекологии»</w:t>
      </w:r>
      <w:r w:rsidR="00FA6546" w:rsidRPr="00FA65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БухМИ</w:t>
      </w:r>
      <w:proofErr w:type="spellEnd"/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Хотамова</w:t>
      </w:r>
      <w:proofErr w:type="spellEnd"/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М.Т. была командирована в город </w:t>
      </w:r>
      <w:r w:rsidR="008F33E3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Чимкент 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02.05.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FA6546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242B43" w:rsidRPr="00FA6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05B0725" w14:textId="77777777" w:rsidR="00FA6546" w:rsidRDefault="00FA6546" w:rsidP="008E6CC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t xml:space="preserve">Южно-Казахстанский университет им. 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 xml:space="preserve"> – крупнейший и многопрофильный университет Республики Казахстан, научно-образовательный, интеллектуальный, культурный центр региона.</w:t>
      </w:r>
      <w:r w:rsidRPr="00FA65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9994E" w14:textId="07666CE3" w:rsidR="00DD2536" w:rsidRPr="00DD2536" w:rsidRDefault="00DD2536" w:rsidP="00DD253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9B06618" wp14:editId="3A8A48E3">
            <wp:extent cx="2772775" cy="194400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77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40A0E66" wp14:editId="544D74E5">
            <wp:extent cx="2775006" cy="194556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52" cy="19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A05EC" w14:textId="1E3FCAFD" w:rsidR="008E6CC1" w:rsidRPr="00FA6546" w:rsidRDefault="008E6CC1" w:rsidP="008E6CC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t>Академия осуществляет подготовку медицинских и фармацевтических кадров на уровне технического и профессионального образования, после среднего, высшего, послевузовского образования и далее на уровне непрерывного профессионального развития, а также инженеров-технологов для фармацевтического производства на уровне бакалавриата.</w:t>
      </w:r>
    </w:p>
    <w:p w14:paraId="2BD2BC94" w14:textId="77777777" w:rsidR="00FA6546" w:rsidRPr="00FA6546" w:rsidRDefault="00FA6546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t xml:space="preserve">В университете ведется подготовка специалистов для всех секторов экономики, науки и культуры региона, республики и мирового пространства. Южно-Казахстанский государственный университет им. 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 xml:space="preserve"> является одним из самых ярких брендов сферы высшего образования республики.</w:t>
      </w:r>
    </w:p>
    <w:p w14:paraId="4E994E95" w14:textId="77777777" w:rsidR="00FA6546" w:rsidRDefault="00FA6546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lastRenderedPageBreak/>
        <w:t>В прошлом году вуз занял почетное третье место в Казахстане по общему рейтингу и третье место - по количеству выигранных грантов. В настоящее время педагогической деятельностью в университете занимаются свыше 1500 преподавателей, из которых 4 академика НАН РК, 4 академика НИАН РК, 123 докторов наук, 600 кандидатов наук. К учебному процессу привлечены лучшие ученые и специалисты, имеющие практический опыт работы, ведущие ученые из стран дальнего и ближнего зарубежья, в том числе США, Германии, Испании, Бельгии, России. Материально-техническая база университета состоит из десяти учебных корпусов современного типа, двух спортивных комплексов, шести студенческих общежитий.</w:t>
      </w:r>
    </w:p>
    <w:p w14:paraId="602503F7" w14:textId="48E06751" w:rsidR="001004ED" w:rsidRPr="00FA6546" w:rsidRDefault="001004ED" w:rsidP="001004E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259D82" wp14:editId="68676E2E">
            <wp:extent cx="2774300" cy="194400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6C0A02" wp14:editId="63E87899">
            <wp:extent cx="2774216" cy="194400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16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E7A9" w14:textId="3EAED264" w:rsidR="00FA6546" w:rsidRPr="00FA6546" w:rsidRDefault="00FA6546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t>Создание учебно-научно-производственных комплексов</w:t>
      </w:r>
      <w:r w:rsidRPr="00FA6546">
        <w:rPr>
          <w:rFonts w:ascii="Times New Roman" w:hAnsi="Times New Roman" w:cs="Times New Roman"/>
          <w:sz w:val="28"/>
          <w:szCs w:val="28"/>
        </w:rPr>
        <w:t xml:space="preserve">. </w:t>
      </w:r>
      <w:r w:rsidRPr="00FA6546">
        <w:rPr>
          <w:rFonts w:ascii="Times New Roman" w:hAnsi="Times New Roman" w:cs="Times New Roman"/>
          <w:sz w:val="28"/>
          <w:szCs w:val="28"/>
        </w:rPr>
        <w:t>Из них 6766 студентов – по государственному образовательному гранту. В результате принятых мер сформировалась устойчивая тенденция к увеличению контингента студентов инженерных специальностей.</w:t>
      </w:r>
      <w:r w:rsidRPr="00FA6546">
        <w:rPr>
          <w:rFonts w:ascii="Times New Roman" w:hAnsi="Times New Roman" w:cs="Times New Roman"/>
          <w:sz w:val="28"/>
          <w:szCs w:val="28"/>
        </w:rPr>
        <w:t xml:space="preserve"> </w:t>
      </w:r>
      <w:r w:rsidRPr="00FA6546">
        <w:rPr>
          <w:rFonts w:ascii="Times New Roman" w:hAnsi="Times New Roman" w:cs="Times New Roman"/>
          <w:sz w:val="28"/>
          <w:szCs w:val="28"/>
        </w:rPr>
        <w:t>Это связано также с увеличением количества государственных грантов, выделяемых на технические специальности. В 20</w:t>
      </w:r>
      <w:r w:rsidR="00E535EA">
        <w:rPr>
          <w:rFonts w:ascii="Times New Roman" w:hAnsi="Times New Roman" w:cs="Times New Roman"/>
          <w:sz w:val="28"/>
          <w:szCs w:val="28"/>
        </w:rPr>
        <w:t>1</w:t>
      </w:r>
      <w:r w:rsidRPr="00FA6546">
        <w:rPr>
          <w:rFonts w:ascii="Times New Roman" w:hAnsi="Times New Roman" w:cs="Times New Roman"/>
          <w:sz w:val="28"/>
          <w:szCs w:val="28"/>
        </w:rPr>
        <w:t>7 году университетом было выиграно 2375 грантов, в том числе 900 по техническим специальностям, что позволило нашему вузу занять 3-е место в республике по количеству грантов. В университете созданы учебно-научно-производственные комплексы совместно с ведущими предприятиями области, такими как АО "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Интеркомшина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>", АО "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Шымкентцемент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>", ТОО "Казфосфат", АО "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Петроказахстан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>", АО "Меланж", "Юго-Западный Аграрный центр". В УНПК обучение студентов в корне отличается от принятых в настоящий момент принципов обучения.</w:t>
      </w:r>
    </w:p>
    <w:p w14:paraId="030DD739" w14:textId="76B2A69D" w:rsidR="00FA6546" w:rsidRDefault="00FA6546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t xml:space="preserve">В </w:t>
      </w:r>
      <w:r w:rsidRPr="00FA6546">
        <w:rPr>
          <w:rFonts w:ascii="Times New Roman" w:hAnsi="Times New Roman" w:cs="Times New Roman"/>
          <w:sz w:val="28"/>
          <w:szCs w:val="28"/>
        </w:rPr>
        <w:t>20</w:t>
      </w:r>
      <w:r w:rsidR="00E535EA">
        <w:rPr>
          <w:rFonts w:ascii="Times New Roman" w:hAnsi="Times New Roman" w:cs="Times New Roman"/>
          <w:sz w:val="28"/>
          <w:szCs w:val="28"/>
        </w:rPr>
        <w:t>2</w:t>
      </w:r>
      <w:r w:rsidRPr="00FA6546">
        <w:rPr>
          <w:rFonts w:ascii="Times New Roman" w:hAnsi="Times New Roman" w:cs="Times New Roman"/>
          <w:sz w:val="28"/>
          <w:szCs w:val="28"/>
        </w:rPr>
        <w:t xml:space="preserve">3 </w:t>
      </w:r>
      <w:r w:rsidRPr="00FA6546">
        <w:rPr>
          <w:rFonts w:ascii="Times New Roman" w:hAnsi="Times New Roman" w:cs="Times New Roman"/>
          <w:sz w:val="28"/>
          <w:szCs w:val="28"/>
        </w:rPr>
        <w:t>году в университете создается региональная инженерная лаборатория конструкционных и биохимических материалов</w:t>
      </w:r>
      <w:r w:rsidRPr="00FA6546">
        <w:rPr>
          <w:rFonts w:ascii="Times New Roman" w:hAnsi="Times New Roman" w:cs="Times New Roman"/>
          <w:sz w:val="28"/>
          <w:szCs w:val="28"/>
        </w:rPr>
        <w:t xml:space="preserve">. </w:t>
      </w:r>
      <w:r w:rsidRPr="00FA6546">
        <w:rPr>
          <w:rFonts w:ascii="Times New Roman" w:hAnsi="Times New Roman" w:cs="Times New Roman"/>
          <w:sz w:val="28"/>
          <w:szCs w:val="28"/>
        </w:rPr>
        <w:t xml:space="preserve">Всего в университете 457 учебных аудиторий, 130 лабораторных аудиторий, 49 </w:t>
      </w:r>
      <w:r w:rsidRPr="00FA6546">
        <w:rPr>
          <w:rFonts w:ascii="Times New Roman" w:hAnsi="Times New Roman" w:cs="Times New Roman"/>
          <w:sz w:val="28"/>
          <w:szCs w:val="28"/>
        </w:rPr>
        <w:lastRenderedPageBreak/>
        <w:t>компьютерных классов. В учебном процессе используется более 1800 компьютер, из которых 85% - компьютеры нового поколения, 1540 компьютеров подключены к Интернет.</w:t>
      </w:r>
    </w:p>
    <w:p w14:paraId="349539D9" w14:textId="68FD80E3" w:rsidR="008615ED" w:rsidRDefault="008615ED" w:rsidP="008615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76C2CD" wp14:editId="08F56CFB">
            <wp:extent cx="2775912" cy="1944000"/>
            <wp:effectExtent l="0" t="0" r="571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12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DDCE33" wp14:editId="60466DF6">
            <wp:extent cx="2775912" cy="1944000"/>
            <wp:effectExtent l="0" t="0" r="571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12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469B" w14:textId="4506671F" w:rsidR="00FA6546" w:rsidRPr="00FA6546" w:rsidRDefault="00FA6546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t xml:space="preserve">На переоснащение и создание современной материально-технической базы университетом было затрачено свыше 600 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млн.тенге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 xml:space="preserve">, из них только на приобретение новейшего оборудования - свыше 300 млн. тенге. В текущем году в университете создается региональная инженерная лаборатория конструкционных и биохимических материалов (финансирование 200 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млн.тенге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>).</w:t>
      </w:r>
    </w:p>
    <w:p w14:paraId="3BA69BA0" w14:textId="77777777" w:rsidR="00FA6546" w:rsidRDefault="00FA6546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46">
        <w:rPr>
          <w:rFonts w:ascii="Times New Roman" w:hAnsi="Times New Roman" w:cs="Times New Roman"/>
          <w:sz w:val="28"/>
          <w:szCs w:val="28"/>
        </w:rPr>
        <w:t xml:space="preserve">Приобретены самые современные лабораторные установки по разгонке нефти, определению фракционного состава сырой нефти, определению реологических свойств нефтяных дорожных битумов, соответствующие европейским стандартам. Некоторые установки не имеют аналогов в Казахстане, так аппарат четкой ректификации нефтяных </w:t>
      </w:r>
      <w:proofErr w:type="spellStart"/>
      <w:r w:rsidRPr="00FA6546">
        <w:rPr>
          <w:rFonts w:ascii="Times New Roman" w:hAnsi="Times New Roman" w:cs="Times New Roman"/>
          <w:sz w:val="28"/>
          <w:szCs w:val="28"/>
        </w:rPr>
        <w:t>дистилянтов</w:t>
      </w:r>
      <w:proofErr w:type="spellEnd"/>
      <w:r w:rsidRPr="00FA6546">
        <w:rPr>
          <w:rFonts w:ascii="Times New Roman" w:hAnsi="Times New Roman" w:cs="Times New Roman"/>
          <w:sz w:val="28"/>
          <w:szCs w:val="28"/>
        </w:rPr>
        <w:t xml:space="preserve"> был отмечен на Международной выставке "Образование-2007". В университете по 83 специальностям обучается около 20 тысяч студентов.</w:t>
      </w:r>
    </w:p>
    <w:p w14:paraId="0852821A" w14:textId="285BA7B2" w:rsidR="009B78D2" w:rsidRPr="009B78D2" w:rsidRDefault="009B78D2" w:rsidP="009B78D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8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2007 году в </w:t>
      </w:r>
      <w:r w:rsidRPr="009B78D2">
        <w:rPr>
          <w:rFonts w:ascii="Times New Roman" w:hAnsi="Times New Roman" w:cs="Times New Roman"/>
          <w:sz w:val="28"/>
          <w:szCs w:val="28"/>
        </w:rPr>
        <w:t>университете открыт Лингвистический центр, где ведется обучение студентов и преподавателей иностранным языкам.</w:t>
      </w:r>
    </w:p>
    <w:p w14:paraId="614E0CDA" w14:textId="77777777" w:rsidR="009B78D2" w:rsidRDefault="009B78D2" w:rsidP="009B78D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8D2">
        <w:rPr>
          <w:rFonts w:ascii="Times New Roman" w:hAnsi="Times New Roman" w:cs="Times New Roman"/>
          <w:sz w:val="28"/>
          <w:szCs w:val="28"/>
        </w:rPr>
        <w:t>Учебный процесс организуется так, что студент при освоении практической части дисциплин образовательной программы основную часть практической подготовки реализует в режиме реальной работы на производстве. В учебный процесс внедрены современные технологии обучения: кредитная система, кейс-технология, интерактивные и инновационные методы преподавания.</w:t>
      </w:r>
    </w:p>
    <w:p w14:paraId="00B2686C" w14:textId="77777777" w:rsidR="00162B07" w:rsidRDefault="009B78D2" w:rsidP="009B78D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8D2">
        <w:rPr>
          <w:rFonts w:ascii="Times New Roman" w:hAnsi="Times New Roman" w:cs="Times New Roman"/>
          <w:sz w:val="28"/>
          <w:szCs w:val="28"/>
        </w:rPr>
        <w:t xml:space="preserve">Успеваемость студентов достигла 90%, увеличилось количество студентов-отличников до 11%. </w:t>
      </w:r>
    </w:p>
    <w:p w14:paraId="566A0656" w14:textId="3268FCAE" w:rsidR="009B78D2" w:rsidRDefault="009B78D2" w:rsidP="009B78D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8D2">
        <w:rPr>
          <w:rFonts w:ascii="Times New Roman" w:hAnsi="Times New Roman" w:cs="Times New Roman"/>
          <w:sz w:val="28"/>
          <w:szCs w:val="28"/>
        </w:rPr>
        <w:lastRenderedPageBreak/>
        <w:t>Это связано также с увеличением количества государственных грантов, выделяемых на технические специальности. В 2007 году нашим университетом было выиграно 2375 грантов, в том числе 900 по техническим специальностям, что позволило нашему вузу занять 3-е место в республике по количеству грантов. В университете созданы учебно-научно-производственные комплексы совместно с ведущими предприятиями области, такими как АО "</w:t>
      </w:r>
      <w:proofErr w:type="spellStart"/>
      <w:r w:rsidRPr="009B78D2">
        <w:rPr>
          <w:rFonts w:ascii="Times New Roman" w:hAnsi="Times New Roman" w:cs="Times New Roman"/>
          <w:sz w:val="28"/>
          <w:szCs w:val="28"/>
        </w:rPr>
        <w:t>Интеркомшина</w:t>
      </w:r>
      <w:proofErr w:type="spellEnd"/>
      <w:r w:rsidRPr="009B78D2">
        <w:rPr>
          <w:rFonts w:ascii="Times New Roman" w:hAnsi="Times New Roman" w:cs="Times New Roman"/>
          <w:sz w:val="28"/>
          <w:szCs w:val="28"/>
        </w:rPr>
        <w:t>", АО "</w:t>
      </w:r>
      <w:proofErr w:type="spellStart"/>
      <w:r w:rsidRPr="009B78D2">
        <w:rPr>
          <w:rFonts w:ascii="Times New Roman" w:hAnsi="Times New Roman" w:cs="Times New Roman"/>
          <w:sz w:val="28"/>
          <w:szCs w:val="28"/>
        </w:rPr>
        <w:t>Шымкентцемент</w:t>
      </w:r>
      <w:proofErr w:type="spellEnd"/>
      <w:r w:rsidRPr="009B78D2">
        <w:rPr>
          <w:rFonts w:ascii="Times New Roman" w:hAnsi="Times New Roman" w:cs="Times New Roman"/>
          <w:sz w:val="28"/>
          <w:szCs w:val="28"/>
        </w:rPr>
        <w:t>", ТОО "Казфосфат", АО "</w:t>
      </w:r>
      <w:proofErr w:type="spellStart"/>
      <w:r w:rsidRPr="009B78D2">
        <w:rPr>
          <w:rFonts w:ascii="Times New Roman" w:hAnsi="Times New Roman" w:cs="Times New Roman"/>
          <w:sz w:val="28"/>
          <w:szCs w:val="28"/>
        </w:rPr>
        <w:t>Петроказахстан</w:t>
      </w:r>
      <w:proofErr w:type="spellEnd"/>
      <w:r w:rsidRPr="009B78D2">
        <w:rPr>
          <w:rFonts w:ascii="Times New Roman" w:hAnsi="Times New Roman" w:cs="Times New Roman"/>
          <w:sz w:val="28"/>
          <w:szCs w:val="28"/>
        </w:rPr>
        <w:t>", АО "Меланж", "Юго-Западный Аграрный центр". В УНПК обучение студентов в корне отличается от принятых в настоящий момент принципов обучения.</w:t>
      </w:r>
    </w:p>
    <w:p w14:paraId="15F75D5C" w14:textId="3352C7DD" w:rsidR="00162B07" w:rsidRPr="009B78D2" w:rsidRDefault="00162B07" w:rsidP="00162B07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5F7E0FF" wp14:editId="199C56E2">
            <wp:extent cx="2774300" cy="194400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4BA545B" wp14:editId="10F81DCF">
            <wp:extent cx="2774299" cy="1944000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99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43453" w14:textId="77777777" w:rsidR="00162B07" w:rsidRDefault="00162B07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Из 1182 студентов бакалавриата 1038 обучаются по государственным образовательным грантам, 106 из 133 докторантов обучаются по государственным образовательным грантам.</w:t>
      </w:r>
    </w:p>
    <w:p w14:paraId="47203762" w14:textId="53CA1BD2" w:rsidR="00162B07" w:rsidRDefault="00162B07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Акцент сделан на должной реализации программы Президента «Духовное возрождение: ориентация в будущее», ее популяризации среди студенческой молодежи и СМИ. На самом деле, эта масштабная государственная программа, поднимающая национальный дух нашей молодежи, укрепляющая ее патриотические качества и способствующая воспитанию в духе нового казахстанского патриотизма, может многое предложить. В этом направлении ведется большая работа. Среди них «Цифровой Казахстан», «История и культура Великой степи», «Родина», «Юный патриот», «Золотой фонд», «Создание мультимедийной программы для преподавания истории Казахстана на геоинформационных технологиях», «100 новых имен» и другие. Особо следует отметить запуск проектов и открытие научно-методического центра «</w:t>
      </w:r>
      <w:proofErr w:type="spellStart"/>
      <w:r w:rsidRPr="00162B07">
        <w:rPr>
          <w:rFonts w:ascii="Times New Roman" w:hAnsi="Times New Roman" w:cs="Times New Roman"/>
          <w:sz w:val="28"/>
          <w:szCs w:val="28"/>
        </w:rPr>
        <w:t>Елбасытану</w:t>
      </w:r>
      <w:proofErr w:type="spellEnd"/>
      <w:r w:rsidRPr="00162B07">
        <w:rPr>
          <w:rFonts w:ascii="Times New Roman" w:hAnsi="Times New Roman" w:cs="Times New Roman"/>
          <w:sz w:val="28"/>
          <w:szCs w:val="28"/>
        </w:rPr>
        <w:t>».</w:t>
      </w:r>
    </w:p>
    <w:p w14:paraId="2A266598" w14:textId="77777777" w:rsidR="000C680A" w:rsidRDefault="00162B07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 xml:space="preserve">Приведенные выше данные показывают, что ректоры, возглавлявшие университет в разные годы, сыграли немалую роль в подъеме нашего </w:t>
      </w:r>
      <w:r w:rsidRPr="00162B07">
        <w:rPr>
          <w:rFonts w:ascii="Times New Roman" w:hAnsi="Times New Roman" w:cs="Times New Roman"/>
          <w:sz w:val="28"/>
          <w:szCs w:val="28"/>
        </w:rPr>
        <w:lastRenderedPageBreak/>
        <w:t>университета до таких высот. Очевидно, что их образ жизни, поучительная жизнь всегда будут примером для образованных и зрелых людей.</w:t>
      </w:r>
    </w:p>
    <w:p w14:paraId="663FAD2F" w14:textId="0883AA54" w:rsidR="009B78D2" w:rsidRDefault="000C680A" w:rsidP="00FA65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0A">
        <w:rPr>
          <w:rFonts w:ascii="Times New Roman" w:hAnsi="Times New Roman" w:cs="Times New Roman"/>
          <w:sz w:val="28"/>
          <w:szCs w:val="28"/>
        </w:rPr>
        <w:t xml:space="preserve">Среди выпускников, окончивших университет и покоривших горизонты знаний, немало известных в стране людей, ветеранов своего дела. Среди них </w:t>
      </w:r>
      <w:proofErr w:type="spellStart"/>
      <w:r w:rsidRPr="000C680A">
        <w:rPr>
          <w:rFonts w:ascii="Times New Roman" w:hAnsi="Times New Roman" w:cs="Times New Roman"/>
          <w:sz w:val="28"/>
          <w:szCs w:val="28"/>
        </w:rPr>
        <w:t>Турысбеков</w:t>
      </w:r>
      <w:proofErr w:type="spellEnd"/>
      <w:r w:rsidRPr="000C680A">
        <w:rPr>
          <w:rFonts w:ascii="Times New Roman" w:hAnsi="Times New Roman" w:cs="Times New Roman"/>
          <w:sz w:val="28"/>
          <w:szCs w:val="28"/>
        </w:rPr>
        <w:t xml:space="preserve"> З., Чанов А., Абубакиров П., Сарсенов Н., </w:t>
      </w:r>
      <w:proofErr w:type="spellStart"/>
      <w:r w:rsidRPr="000C680A">
        <w:rPr>
          <w:rFonts w:ascii="Times New Roman" w:hAnsi="Times New Roman" w:cs="Times New Roman"/>
          <w:sz w:val="28"/>
          <w:szCs w:val="28"/>
        </w:rPr>
        <w:t>Сейтжанов</w:t>
      </w:r>
      <w:proofErr w:type="spellEnd"/>
      <w:r w:rsidRPr="000C680A">
        <w:rPr>
          <w:rFonts w:ascii="Times New Roman" w:hAnsi="Times New Roman" w:cs="Times New Roman"/>
          <w:sz w:val="28"/>
          <w:szCs w:val="28"/>
        </w:rPr>
        <w:t xml:space="preserve"> С., Султанов Ж., Колесниченко В., </w:t>
      </w:r>
      <w:proofErr w:type="spellStart"/>
      <w:r w:rsidRPr="000C680A">
        <w:rPr>
          <w:rFonts w:ascii="Times New Roman" w:hAnsi="Times New Roman" w:cs="Times New Roman"/>
          <w:sz w:val="28"/>
          <w:szCs w:val="28"/>
        </w:rPr>
        <w:t>Журинов</w:t>
      </w:r>
      <w:proofErr w:type="spellEnd"/>
      <w:r w:rsidRPr="000C680A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0C680A">
        <w:rPr>
          <w:rFonts w:ascii="Times New Roman" w:hAnsi="Times New Roman" w:cs="Times New Roman"/>
          <w:sz w:val="28"/>
          <w:szCs w:val="28"/>
        </w:rPr>
        <w:t>Куртаев</w:t>
      </w:r>
      <w:proofErr w:type="spellEnd"/>
      <w:r w:rsidRPr="000C680A">
        <w:rPr>
          <w:rFonts w:ascii="Times New Roman" w:hAnsi="Times New Roman" w:cs="Times New Roman"/>
          <w:sz w:val="28"/>
          <w:szCs w:val="28"/>
        </w:rPr>
        <w:t xml:space="preserve"> А., Мусабеков Э., </w:t>
      </w:r>
      <w:proofErr w:type="spellStart"/>
      <w:r w:rsidRPr="000C680A">
        <w:rPr>
          <w:rFonts w:ascii="Times New Roman" w:hAnsi="Times New Roman" w:cs="Times New Roman"/>
          <w:sz w:val="28"/>
          <w:szCs w:val="28"/>
        </w:rPr>
        <w:t>Хасангалиев</w:t>
      </w:r>
      <w:proofErr w:type="spellEnd"/>
      <w:r w:rsidRPr="000C680A">
        <w:rPr>
          <w:rFonts w:ascii="Times New Roman" w:hAnsi="Times New Roman" w:cs="Times New Roman"/>
          <w:sz w:val="28"/>
          <w:szCs w:val="28"/>
        </w:rPr>
        <w:t xml:space="preserve"> Э., Жунусова М. , Н. </w:t>
      </w:r>
      <w:proofErr w:type="spellStart"/>
      <w:r w:rsidRPr="000C680A">
        <w:rPr>
          <w:rFonts w:ascii="Times New Roman" w:hAnsi="Times New Roman" w:cs="Times New Roman"/>
          <w:sz w:val="28"/>
          <w:szCs w:val="28"/>
        </w:rPr>
        <w:t>Искалиева</w:t>
      </w:r>
      <w:proofErr w:type="spellEnd"/>
      <w:r w:rsidRPr="000C680A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0C680A">
        <w:rPr>
          <w:rFonts w:ascii="Times New Roman" w:hAnsi="Times New Roman" w:cs="Times New Roman"/>
          <w:sz w:val="28"/>
          <w:szCs w:val="28"/>
        </w:rPr>
        <w:t>Саттарханов</w:t>
      </w:r>
      <w:proofErr w:type="spellEnd"/>
      <w:r w:rsidRPr="000C680A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46674A05" w14:textId="082321C9" w:rsidR="006C3FA4" w:rsidRDefault="006C3FA4" w:rsidP="006C3FA4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6C3FA4">
        <w:rPr>
          <w:rFonts w:ascii="Times New Roman" w:hAnsi="Times New Roman" w:cs="Times New Roman"/>
          <w:sz w:val="28"/>
          <w:szCs w:val="28"/>
        </w:rPr>
        <w:t>Биотехнологи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C3FA4">
        <w:rPr>
          <w:rFonts w:ascii="Times New Roman" w:hAnsi="Times New Roman" w:cs="Times New Roman"/>
          <w:sz w:val="28"/>
          <w:szCs w:val="28"/>
        </w:rPr>
        <w:t>Южно-Казахстанск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C3FA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3FA4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6C3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FA4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C3FA4" w:rsidRPr="006C3FA4" w14:paraId="225A0187" w14:textId="77777777" w:rsidTr="006C3FA4">
        <w:tc>
          <w:tcPr>
            <w:tcW w:w="4672" w:type="dxa"/>
            <w:vAlign w:val="center"/>
          </w:tcPr>
          <w:p w14:paraId="23EA19A1" w14:textId="1DE36427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Наименование ОП</w:t>
            </w:r>
          </w:p>
        </w:tc>
        <w:tc>
          <w:tcPr>
            <w:tcW w:w="4672" w:type="dxa"/>
            <w:vAlign w:val="center"/>
          </w:tcPr>
          <w:p w14:paraId="66E60BA7" w14:textId="3785E843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6В05120  Биотехнология</w:t>
            </w:r>
          </w:p>
        </w:tc>
      </w:tr>
      <w:tr w:rsidR="006C3FA4" w:rsidRPr="006C3FA4" w14:paraId="37F7AB29" w14:textId="77777777" w:rsidTr="006C3FA4">
        <w:tc>
          <w:tcPr>
            <w:tcW w:w="4672" w:type="dxa"/>
            <w:vAlign w:val="center"/>
          </w:tcPr>
          <w:p w14:paraId="22B520E1" w14:textId="272C1FBE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Код и классификация области образования</w:t>
            </w:r>
          </w:p>
        </w:tc>
        <w:tc>
          <w:tcPr>
            <w:tcW w:w="4672" w:type="dxa"/>
            <w:vAlign w:val="center"/>
          </w:tcPr>
          <w:p w14:paraId="19BB0D3D" w14:textId="62CA87D9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6В05 Естественные науки, математика и статистика</w:t>
            </w:r>
          </w:p>
        </w:tc>
      </w:tr>
      <w:tr w:rsidR="006C3FA4" w:rsidRPr="006C3FA4" w14:paraId="4558B445" w14:textId="77777777" w:rsidTr="006C3FA4">
        <w:tc>
          <w:tcPr>
            <w:tcW w:w="4672" w:type="dxa"/>
            <w:vAlign w:val="center"/>
          </w:tcPr>
          <w:p w14:paraId="28418E16" w14:textId="0ECA8925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Код и классификация направления подготовки</w:t>
            </w:r>
          </w:p>
        </w:tc>
        <w:tc>
          <w:tcPr>
            <w:tcW w:w="4672" w:type="dxa"/>
            <w:vAlign w:val="center"/>
          </w:tcPr>
          <w:p w14:paraId="75F4A487" w14:textId="0AFC06D8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6В051 Биологические и смежные науки</w:t>
            </w:r>
          </w:p>
        </w:tc>
      </w:tr>
      <w:tr w:rsidR="006C3FA4" w:rsidRPr="006C3FA4" w14:paraId="497F3084" w14:textId="77777777" w:rsidTr="006C3FA4">
        <w:tc>
          <w:tcPr>
            <w:tcW w:w="4672" w:type="dxa"/>
            <w:vAlign w:val="center"/>
          </w:tcPr>
          <w:p w14:paraId="24C5B294" w14:textId="019F3B01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Группа образовательных программ (ОП)</w:t>
            </w:r>
          </w:p>
        </w:tc>
        <w:tc>
          <w:tcPr>
            <w:tcW w:w="4672" w:type="dxa"/>
            <w:vAlign w:val="center"/>
          </w:tcPr>
          <w:p w14:paraId="4F60A3F8" w14:textId="54A7411F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В050  Биологические и смежные науки</w:t>
            </w:r>
          </w:p>
        </w:tc>
      </w:tr>
      <w:tr w:rsidR="006C3FA4" w:rsidRPr="006C3FA4" w14:paraId="2E4F529E" w14:textId="77777777" w:rsidTr="006C3FA4">
        <w:tc>
          <w:tcPr>
            <w:tcW w:w="4672" w:type="dxa"/>
            <w:vAlign w:val="center"/>
          </w:tcPr>
          <w:p w14:paraId="41E59783" w14:textId="2F7A1F1A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4672" w:type="dxa"/>
            <w:vAlign w:val="center"/>
          </w:tcPr>
          <w:p w14:paraId="1FF25263" w14:textId="7B07E968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казахский, русский, английский</w:t>
            </w:r>
          </w:p>
        </w:tc>
      </w:tr>
      <w:tr w:rsidR="006C3FA4" w:rsidRPr="006C3FA4" w14:paraId="61BD3542" w14:textId="77777777" w:rsidTr="006C3FA4">
        <w:tc>
          <w:tcPr>
            <w:tcW w:w="4672" w:type="dxa"/>
            <w:vAlign w:val="center"/>
          </w:tcPr>
          <w:p w14:paraId="191624B9" w14:textId="79922720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Трудоемкость ОП</w:t>
            </w:r>
          </w:p>
        </w:tc>
        <w:tc>
          <w:tcPr>
            <w:tcW w:w="4672" w:type="dxa"/>
            <w:vAlign w:val="center"/>
          </w:tcPr>
          <w:p w14:paraId="018B8D6D" w14:textId="76F3E9A3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240 кредит</w:t>
            </w:r>
          </w:p>
        </w:tc>
      </w:tr>
      <w:tr w:rsidR="006C3FA4" w:rsidRPr="006C3FA4" w14:paraId="7A9DA1A0" w14:textId="77777777" w:rsidTr="006C3FA4">
        <w:tc>
          <w:tcPr>
            <w:tcW w:w="4672" w:type="dxa"/>
            <w:vAlign w:val="center"/>
          </w:tcPr>
          <w:p w14:paraId="0E22861B" w14:textId="06570B87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ОП</w:t>
            </w:r>
          </w:p>
        </w:tc>
        <w:tc>
          <w:tcPr>
            <w:tcW w:w="4672" w:type="dxa"/>
            <w:vAlign w:val="center"/>
          </w:tcPr>
          <w:p w14:paraId="5D7F6048" w14:textId="5461F084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6C3FA4" w:rsidRPr="006C3FA4" w14:paraId="26AACD93" w14:textId="77777777" w:rsidTr="006C3FA4">
        <w:tc>
          <w:tcPr>
            <w:tcW w:w="4672" w:type="dxa"/>
            <w:vAlign w:val="center"/>
          </w:tcPr>
          <w:p w14:paraId="67B4E620" w14:textId="4C54D3D1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ВУЗ-партнер</w:t>
            </w:r>
          </w:p>
        </w:tc>
        <w:tc>
          <w:tcPr>
            <w:tcW w:w="4672" w:type="dxa"/>
            <w:vAlign w:val="center"/>
          </w:tcPr>
          <w:p w14:paraId="21ED4633" w14:textId="6D4EC6EC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3FA4" w:rsidRPr="006C3FA4" w14:paraId="51A468A9" w14:textId="77777777" w:rsidTr="006C3FA4">
        <w:tc>
          <w:tcPr>
            <w:tcW w:w="4672" w:type="dxa"/>
            <w:vAlign w:val="center"/>
          </w:tcPr>
          <w:p w14:paraId="310C9701" w14:textId="02324F50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Цель ОП</w:t>
            </w:r>
          </w:p>
        </w:tc>
        <w:tc>
          <w:tcPr>
            <w:tcW w:w="4672" w:type="dxa"/>
            <w:vAlign w:val="center"/>
          </w:tcPr>
          <w:p w14:paraId="4B09CA58" w14:textId="5F19620A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Подготовка бакалавров, владеющих современными, высокоэффективными методами исследований в области биотехнологии и умеющих применять полученные знания и анализировать современное состояние развития отрасли</w:t>
            </w:r>
          </w:p>
        </w:tc>
      </w:tr>
      <w:tr w:rsidR="006C3FA4" w:rsidRPr="006C3FA4" w14:paraId="4C934CC2" w14:textId="77777777" w:rsidTr="006C3FA4">
        <w:tc>
          <w:tcPr>
            <w:tcW w:w="4672" w:type="dxa"/>
            <w:vAlign w:val="center"/>
          </w:tcPr>
          <w:p w14:paraId="12D5F3F2" w14:textId="6BD2F964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Наименование присуждаемой степени</w:t>
            </w:r>
          </w:p>
        </w:tc>
        <w:tc>
          <w:tcPr>
            <w:tcW w:w="4672" w:type="dxa"/>
            <w:vAlign w:val="center"/>
          </w:tcPr>
          <w:p w14:paraId="34FC4296" w14:textId="17B6676B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«Бакалавра естествознания»</w:t>
            </w:r>
          </w:p>
        </w:tc>
      </w:tr>
      <w:tr w:rsidR="006C3FA4" w:rsidRPr="006C3FA4" w14:paraId="594C9174" w14:textId="77777777" w:rsidTr="006C3FA4">
        <w:tc>
          <w:tcPr>
            <w:tcW w:w="4672" w:type="dxa"/>
            <w:vAlign w:val="center"/>
          </w:tcPr>
          <w:p w14:paraId="174EBDA0" w14:textId="4BAA3189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Сфера профессиональной деятельности</w:t>
            </w:r>
          </w:p>
        </w:tc>
        <w:tc>
          <w:tcPr>
            <w:tcW w:w="4672" w:type="dxa"/>
            <w:vAlign w:val="center"/>
          </w:tcPr>
          <w:p w14:paraId="42CD4E95" w14:textId="34688FFA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 xml:space="preserve">Сферой профессиональной деятельности бакалавров ОП 6В05120-«Биотехнология» является область НИИ и вузы биотехнологического профиля, области получения и исследования ферментов, вирусов, микроорганизмов, клеточных культур животных и растений, продуктов их биосинтеза и </w:t>
            </w:r>
            <w:proofErr w:type="spellStart"/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биотрансформации</w:t>
            </w:r>
            <w:proofErr w:type="spellEnd"/>
            <w:r w:rsidRPr="006C3FA4">
              <w:rPr>
                <w:rFonts w:ascii="Times New Roman" w:hAnsi="Times New Roman" w:cs="Times New Roman"/>
                <w:sz w:val="24"/>
                <w:szCs w:val="24"/>
              </w:rPr>
              <w:t xml:space="preserve">; технологий получения продукции с использованием микробиологического синтеза, </w:t>
            </w:r>
            <w:proofErr w:type="spellStart"/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биокатализа</w:t>
            </w:r>
            <w:proofErr w:type="spellEnd"/>
            <w:r w:rsidRPr="006C3FA4">
              <w:rPr>
                <w:rFonts w:ascii="Times New Roman" w:hAnsi="Times New Roman" w:cs="Times New Roman"/>
                <w:sz w:val="24"/>
                <w:szCs w:val="24"/>
              </w:rPr>
              <w:t xml:space="preserve">, генной инженерии и </w:t>
            </w:r>
            <w:proofErr w:type="spellStart"/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нанобиотехнологий</w:t>
            </w:r>
            <w:proofErr w:type="spellEnd"/>
            <w:r w:rsidRPr="006C3FA4">
              <w:rPr>
                <w:rFonts w:ascii="Times New Roman" w:hAnsi="Times New Roman" w:cs="Times New Roman"/>
                <w:sz w:val="24"/>
                <w:szCs w:val="24"/>
              </w:rPr>
              <w:t xml:space="preserve">, производственные </w:t>
            </w:r>
            <w:r w:rsidR="00FC02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BAAD627" wp14:editId="5AC7C2E0">
                  <wp:simplePos x="0" y="0"/>
                  <wp:positionH relativeFrom="column">
                    <wp:posOffset>-2555240</wp:posOffset>
                  </wp:positionH>
                  <wp:positionV relativeFrom="paragraph">
                    <wp:posOffset>460375</wp:posOffset>
                  </wp:positionV>
                  <wp:extent cx="2019300" cy="2884170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88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предприятия, лаборатории пищевой и перерабатывающей промышленностей, лаборатории по контролю за качеством и безопасностью биотехнологической продукции, ботанические сады и станции защиты растений, селекционные станции, производственные кооперативы, акционерные общества, фермерские, индивидуальные, коллективные хозяйства, товарищества с ограниченной ответственностью, научные лаборатории, государственные учреждения Министерства образования и науки, Министерства сельского хозяйства, фирмы сельскохозяйственного направления и другие сельскохозяйственные формирования.</w:t>
            </w:r>
          </w:p>
        </w:tc>
      </w:tr>
      <w:tr w:rsidR="006C3FA4" w:rsidRPr="00791CC5" w14:paraId="5E9ACC2D" w14:textId="77777777" w:rsidTr="006C3FA4">
        <w:tc>
          <w:tcPr>
            <w:tcW w:w="4672" w:type="dxa"/>
            <w:vAlign w:val="center"/>
          </w:tcPr>
          <w:p w14:paraId="19A794D4" w14:textId="39C90260" w:rsidR="006C3FA4" w:rsidRPr="006C3FA4" w:rsidRDefault="00FC0213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5183B3B" wp14:editId="4E3D75F9">
                  <wp:simplePos x="0" y="0"/>
                  <wp:positionH relativeFrom="column">
                    <wp:posOffset>791845</wp:posOffset>
                  </wp:positionH>
                  <wp:positionV relativeFrom="paragraph">
                    <wp:posOffset>2625090</wp:posOffset>
                  </wp:positionV>
                  <wp:extent cx="1629410" cy="2322830"/>
                  <wp:effectExtent l="0" t="0" r="8890" b="127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10" cy="232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3957466" wp14:editId="3A83411E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-99060</wp:posOffset>
                  </wp:positionV>
                  <wp:extent cx="1532255" cy="2188210"/>
                  <wp:effectExtent l="0" t="0" r="0" b="254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218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FA4" w:rsidRPr="006C3FA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4672" w:type="dxa"/>
            <w:vAlign w:val="center"/>
          </w:tcPr>
          <w:p w14:paraId="1A2323EB" w14:textId="77777777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РО1 Соблюдать академическую честность, этические принципы и законы РК, проявляя коммуникативные навыки на казахском, русском и английском языках.</w:t>
            </w:r>
          </w:p>
          <w:p w14:paraId="5125A78A" w14:textId="77777777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РО2 Демонстрировать естественнонаучное, математическое, общественное, социально-культурное, профессиональное развитие на основе формирования мировоззренческой, гражданской, духовной и социальной ответственности, методов научного, теоретического и экспериментального исследования.</w:t>
            </w:r>
          </w:p>
          <w:p w14:paraId="2C9949AD" w14:textId="77777777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РО3 Использовать сетевые компьютерные технологии, базы данных, пакеты программ на основе прикладных программных средств деловой сферы деятельности, соблюдая основные требования информационной безопасности.</w:t>
            </w:r>
          </w:p>
          <w:p w14:paraId="0FAC44F2" w14:textId="77777777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РО4 Использовать биотехнологические принципы синтеза продуктов на основе клеток микроорганизмов, растений и животных.</w:t>
            </w:r>
          </w:p>
          <w:p w14:paraId="5EDDBC3F" w14:textId="717743B5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 xml:space="preserve">РО5 Проводить лабораторные анализы и эксперименты с использованием физико-химических и технологических подходов для оценки соответствия биологических </w:t>
            </w:r>
            <w:r w:rsidRPr="006C3FA4">
              <w:rPr>
                <w:rFonts w:eastAsiaTheme="minorHAnsi"/>
                <w:lang w:eastAsia="en-US"/>
              </w:rPr>
              <w:lastRenderedPageBreak/>
              <w:t xml:space="preserve">объектов, сырья, смешанных субстанций и </w:t>
            </w:r>
            <w:r w:rsidR="0082431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076C11" wp14:editId="0EB285F8">
                  <wp:simplePos x="0" y="0"/>
                  <wp:positionH relativeFrom="column">
                    <wp:posOffset>-2826385</wp:posOffset>
                  </wp:positionH>
                  <wp:positionV relativeFrom="paragraph">
                    <wp:posOffset>484505</wp:posOffset>
                  </wp:positionV>
                  <wp:extent cx="2562860" cy="1799590"/>
                  <wp:effectExtent l="0" t="0" r="889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3FA4">
              <w:rPr>
                <w:rFonts w:eastAsiaTheme="minorHAnsi"/>
                <w:lang w:eastAsia="en-US"/>
              </w:rPr>
              <w:t>готовой продукции специфике биотехнологического производства</w:t>
            </w:r>
          </w:p>
          <w:p w14:paraId="7B8BAFE6" w14:textId="5B9C3322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РО6 Проводить пилотные, промышленные и полевые испытания с целью разработки технологий использования биологических объектов для получения новой биотехнологической продукции</w:t>
            </w:r>
          </w:p>
          <w:p w14:paraId="38E803CA" w14:textId="6C7EDD0C" w:rsidR="006C3FA4" w:rsidRPr="006C3FA4" w:rsidRDefault="0082431F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CEFC395" wp14:editId="5AEE6552">
                  <wp:simplePos x="0" y="0"/>
                  <wp:positionH relativeFrom="column">
                    <wp:posOffset>-2816860</wp:posOffset>
                  </wp:positionH>
                  <wp:positionV relativeFrom="paragraph">
                    <wp:posOffset>924560</wp:posOffset>
                  </wp:positionV>
                  <wp:extent cx="2574290" cy="1799590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FA4" w:rsidRPr="006C3FA4">
              <w:rPr>
                <w:rFonts w:eastAsiaTheme="minorHAnsi"/>
                <w:lang w:eastAsia="en-US"/>
              </w:rPr>
              <w:t xml:space="preserve">РО7  Использовать адекватные методы исследований в области биотехнологии необходимые для получения ферментов, вирусов, микроорганизмов, клеточных культур животных и растений, их биосинтеза и </w:t>
            </w:r>
            <w:proofErr w:type="spellStart"/>
            <w:r w:rsidR="006C3FA4" w:rsidRPr="006C3FA4">
              <w:rPr>
                <w:rFonts w:eastAsiaTheme="minorHAnsi"/>
                <w:lang w:eastAsia="en-US"/>
              </w:rPr>
              <w:t>биотрансформации</w:t>
            </w:r>
            <w:proofErr w:type="spellEnd"/>
          </w:p>
          <w:p w14:paraId="37E63254" w14:textId="51D5E626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РО8 Обеспечивать экологическую и биологическую безопасность, поддерживая защиту окружающей среды</w:t>
            </w:r>
          </w:p>
          <w:p w14:paraId="1525811B" w14:textId="076D64FA" w:rsidR="006C3FA4" w:rsidRPr="006C3FA4" w:rsidRDefault="0082431F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80AFFBD" wp14:editId="34468500">
                  <wp:simplePos x="0" y="0"/>
                  <wp:positionH relativeFrom="column">
                    <wp:posOffset>-2810510</wp:posOffset>
                  </wp:positionH>
                  <wp:positionV relativeFrom="paragraph">
                    <wp:posOffset>1206500</wp:posOffset>
                  </wp:positionV>
                  <wp:extent cx="2566035" cy="1799590"/>
                  <wp:effectExtent l="0" t="0" r="5715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FA4" w:rsidRPr="006C3FA4">
              <w:rPr>
                <w:rFonts w:eastAsiaTheme="minorHAnsi"/>
                <w:lang w:eastAsia="en-US"/>
              </w:rPr>
              <w:t xml:space="preserve">РО9 Участвовать в решении научно-практических задач в области биомедицины и </w:t>
            </w:r>
            <w:proofErr w:type="spellStart"/>
            <w:r w:rsidR="006C3FA4" w:rsidRPr="006C3FA4">
              <w:rPr>
                <w:rFonts w:eastAsiaTheme="minorHAnsi"/>
                <w:lang w:eastAsia="en-US"/>
              </w:rPr>
              <w:t>бионанотехнологий</w:t>
            </w:r>
            <w:proofErr w:type="spellEnd"/>
            <w:r w:rsidR="006C3FA4" w:rsidRPr="006C3FA4">
              <w:rPr>
                <w:rFonts w:eastAsiaTheme="minorHAnsi"/>
                <w:lang w:eastAsia="en-US"/>
              </w:rPr>
              <w:t xml:space="preserve"> с использованием биотехнологических методов получения лекарственных препаратов, функциональных продуктов питания, биологически активных веществ</w:t>
            </w:r>
          </w:p>
          <w:p w14:paraId="5AD6B250" w14:textId="77777777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РО10 Проводить стандартные и сертификационные испытания готовой продукции и технологических процессов по своим профессиональным направлениям</w:t>
            </w:r>
          </w:p>
          <w:p w14:paraId="7983882B" w14:textId="77777777" w:rsidR="006C3FA4" w:rsidRPr="006C3FA4" w:rsidRDefault="006C3FA4" w:rsidP="006C3FA4">
            <w:pPr>
              <w:pStyle w:val="a5"/>
              <w:spacing w:before="0" w:beforeAutospacing="0" w:after="150" w:afterAutospacing="0"/>
              <w:rPr>
                <w:rFonts w:eastAsiaTheme="minorHAnsi"/>
                <w:lang w:eastAsia="en-US"/>
              </w:rPr>
            </w:pPr>
            <w:r w:rsidRPr="006C3FA4">
              <w:rPr>
                <w:rFonts w:eastAsiaTheme="minorHAnsi"/>
                <w:lang w:eastAsia="en-US"/>
              </w:rPr>
              <w:t>РО11 Излагать письменно или устно свои идеи и основополагающие профессиональные знания в различных областях и сферах деятельности человека</w:t>
            </w:r>
          </w:p>
          <w:p w14:paraId="4D0547A8" w14:textId="460BC30C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РО12 Использовать исследовательские, предпринимательские навыки и навыки работы в условиях неопределенности, работая индивидуально и в команде.</w:t>
            </w:r>
          </w:p>
        </w:tc>
      </w:tr>
      <w:tr w:rsidR="006C3FA4" w:rsidRPr="006C3FA4" w14:paraId="1F3B60AE" w14:textId="77777777" w:rsidTr="006C3FA4">
        <w:tc>
          <w:tcPr>
            <w:tcW w:w="4672" w:type="dxa"/>
            <w:vAlign w:val="center"/>
          </w:tcPr>
          <w:p w14:paraId="2E0F1873" w14:textId="4C466CB7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ОП</w:t>
            </w:r>
          </w:p>
        </w:tc>
        <w:tc>
          <w:tcPr>
            <w:tcW w:w="4672" w:type="dxa"/>
            <w:vAlign w:val="center"/>
          </w:tcPr>
          <w:p w14:paraId="1429B618" w14:textId="44C57BA7" w:rsidR="006C3FA4" w:rsidRPr="006C3FA4" w:rsidRDefault="006C3FA4" w:rsidP="006C3FA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FA4">
              <w:rPr>
                <w:rFonts w:ascii="Times New Roman" w:hAnsi="Times New Roman" w:cs="Times New Roman"/>
                <w:sz w:val="24"/>
                <w:szCs w:val="24"/>
              </w:rPr>
              <w:t>6В05120  Биотехнология</w:t>
            </w:r>
          </w:p>
        </w:tc>
      </w:tr>
    </w:tbl>
    <w:p w14:paraId="7A5A7A32" w14:textId="77777777" w:rsidR="00166A7F" w:rsidRDefault="00166A7F" w:rsidP="00166A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366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3FDA341" w14:textId="77777777" w:rsidR="0039564A" w:rsidRDefault="00395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2C1D6C" w14:textId="2A59D948" w:rsidR="00166A7F" w:rsidRPr="006B2563" w:rsidRDefault="00166A7F" w:rsidP="003956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366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37933">
        <w:rPr>
          <w:rFonts w:ascii="Times New Roman" w:hAnsi="Times New Roman" w:cs="Times New Roman"/>
          <w:sz w:val="28"/>
          <w:szCs w:val="28"/>
        </w:rPr>
        <w:lastRenderedPageBreak/>
        <w:t>Хатамов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37933">
        <w:rPr>
          <w:rFonts w:ascii="Times New Roman" w:hAnsi="Times New Roman" w:cs="Times New Roman"/>
          <w:sz w:val="28"/>
          <w:szCs w:val="28"/>
        </w:rPr>
        <w:t xml:space="preserve"> М.Т.</w:t>
      </w:r>
      <w:r>
        <w:rPr>
          <w:rFonts w:ascii="Times New Roman" w:hAnsi="Times New Roman" w:cs="Times New Roman"/>
          <w:sz w:val="28"/>
          <w:szCs w:val="28"/>
        </w:rPr>
        <w:t xml:space="preserve"> находилась в </w:t>
      </w:r>
      <w:r w:rsidRPr="00166A7F">
        <w:rPr>
          <w:rFonts w:ascii="Times New Roman" w:hAnsi="Times New Roman" w:cs="Times New Roman"/>
          <w:sz w:val="28"/>
          <w:szCs w:val="28"/>
        </w:rPr>
        <w:t>Южно-</w:t>
      </w:r>
      <w:proofErr w:type="spellStart"/>
      <w:r w:rsidRPr="00166A7F">
        <w:rPr>
          <w:rFonts w:ascii="Times New Roman" w:hAnsi="Times New Roman" w:cs="Times New Roman"/>
          <w:sz w:val="28"/>
          <w:szCs w:val="28"/>
        </w:rPr>
        <w:t>Казахстанск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ом</w:t>
      </w:r>
      <w:r w:rsidRPr="00166A7F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Pr="00166A7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166A7F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16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uz-Cyrl-UZ"/>
        </w:rPr>
        <w:t>21</w:t>
      </w:r>
      <w:r w:rsidRPr="00D379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02</w:t>
      </w:r>
      <w:r w:rsidRPr="00D379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05</w:t>
      </w:r>
      <w:r w:rsidRPr="00D3793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3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uz-Cyrl-UZ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и прошла курс </w:t>
      </w:r>
      <w:r>
        <w:rPr>
          <w:rFonts w:ascii="Times New Roman" w:hAnsi="Times New Roman" w:cs="Times New Roman"/>
          <w:sz w:val="28"/>
          <w:szCs w:val="28"/>
          <w:lang w:val="uz-Cyrl-UZ"/>
        </w:rPr>
        <w:t>лекций и практических 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повышения квалификации и обмена опытом в сфере </w:t>
      </w:r>
      <w:r w:rsidR="0039564A">
        <w:rPr>
          <w:rFonts w:ascii="Times New Roman" w:hAnsi="Times New Roman" w:cs="Times New Roman"/>
          <w:sz w:val="28"/>
          <w:szCs w:val="28"/>
        </w:rPr>
        <w:t xml:space="preserve">биотехнологии в медицинской сфере.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конкурентоспособных специалистов, обладающих знаниями, опытом и научными открытиями в области здравоохранения, умеющих оказывать первичную и высокоспециализированную непрерывную медицинскую помощь населению в целом.</w:t>
      </w:r>
    </w:p>
    <w:p w14:paraId="46956F44" w14:textId="0A2D3B60" w:rsidR="006C3FA4" w:rsidRDefault="0039564A" w:rsidP="0039564A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drawing>
          <wp:inline distT="0" distB="0" distL="0" distR="0" wp14:anchorId="6B43302C" wp14:editId="00986C7A">
            <wp:extent cx="2774470" cy="1944000"/>
            <wp:effectExtent l="0" t="0" r="698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7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drawing>
          <wp:inline distT="0" distB="0" distL="0" distR="0" wp14:anchorId="19BD782A" wp14:editId="2E61FFA0">
            <wp:extent cx="2774470" cy="1944000"/>
            <wp:effectExtent l="0" t="0" r="698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7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364F" w14:textId="14EE02C6" w:rsidR="0039564A" w:rsidRDefault="0039564A" w:rsidP="0039564A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центров образования</w:t>
      </w:r>
      <w:r w:rsidRPr="00F25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A7F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166A7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166A7F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16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7450664"/>
      <w:r>
        <w:rPr>
          <w:rFonts w:ascii="Times New Roman" w:hAnsi="Times New Roman" w:cs="Times New Roman"/>
          <w:sz w:val="28"/>
          <w:szCs w:val="28"/>
        </w:rPr>
        <w:t>биотехнологии</w:t>
      </w:r>
      <w:bookmarkEnd w:id="1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Зав.кафедры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биотехнологии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доцент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Алпамысова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Гулжайна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Байгонысовна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учебной, воспитательной и научной работой кафедр, входящих в состав факультета. Координирует учебно-воспитательную, научно-исследовательскую и учебно-методическую направленность. Разрабатывает стратегию развития структуры, налаживает контакты с работодателями. Изучает рынок услуг здравоохранения по направлениям подготовки специалистов.</w:t>
      </w:r>
    </w:p>
    <w:p w14:paraId="6736C4FD" w14:textId="58A47F77" w:rsidR="0039564A" w:rsidRDefault="0039564A" w:rsidP="0039564A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0837C16" wp14:editId="20B0816D">
            <wp:extent cx="2775912" cy="1944000"/>
            <wp:effectExtent l="0" t="0" r="571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12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FA85FA3" wp14:editId="15F986AE">
            <wp:extent cx="2777780" cy="1944000"/>
            <wp:effectExtent l="0" t="0" r="381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8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D893" w14:textId="75BD3A0B" w:rsidR="0039564A" w:rsidRDefault="0039564A" w:rsidP="0039564A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университете созданы все возможности для обучения студентов: учебные корпуса нового типа, лаборатория, оснащенная современной университетской клиникой, ассимиляционный центр. Основной целью центра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является методологическая, материально-техническая поддержка приобретения и совершенствования практических навыков будущими профессионалами в области медицины. В настоящее время центр обеспечен </w:t>
      </w:r>
      <w:r w:rsidR="00E53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учебными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манекенами, манекенами и высокотехнологичными роботами-симуляторами.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2022-2023 учебном году приобретены новые микробиологические лаборатории.</w:t>
      </w:r>
    </w:p>
    <w:p w14:paraId="6AE145D6" w14:textId="061A5395" w:rsidR="0071694C" w:rsidRDefault="0071694C" w:rsidP="0071694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9E973E5" wp14:editId="105D2CD8">
            <wp:extent cx="2774300" cy="1944000"/>
            <wp:effectExtent l="0" t="0" r="762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CB2E858" wp14:editId="0F2B6F65">
            <wp:extent cx="2774216" cy="1944000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16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740BD" w14:textId="77777777" w:rsidR="0039564A" w:rsidRDefault="0039564A" w:rsidP="0039564A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курса на факультете работает множество научных кружков, посвященных науке. Функционирует студенческое научное общество, состоящее из 5 научных кружков.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Созданы условия для участия студентов в общественной работе, свидетельством чего является избрание студентов </w:t>
      </w:r>
      <w:r>
        <w:rPr>
          <w:rFonts w:ascii="Times New Roman" w:hAnsi="Times New Roman" w:cs="Times New Roman"/>
          <w:sz w:val="28"/>
          <w:szCs w:val="28"/>
        </w:rPr>
        <w:t>биотехнологического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факультета в члены Всемирной ассоциации медицинской молодежи Казахстана. На сегодняшний день в соответствии с приказом министра науки и высшего образования Республики Казахстан от 20 июля 2022 года № 2 «Об утверждении государственных общеобязательных стандартов высшего и послевузовского образования» «Программа непрерывного интеграционного образования» с 2022 года внедрена в учебный процесс.</w:t>
      </w:r>
    </w:p>
    <w:p w14:paraId="5FCC04ED" w14:textId="7F8D3F4E" w:rsidR="0039564A" w:rsidRDefault="00E5412A" w:rsidP="00E5412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964B4E" wp14:editId="0897E9DB">
            <wp:extent cx="2774300" cy="1944000"/>
            <wp:effectExtent l="0" t="0" r="762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2312F78" wp14:editId="68C27F3B">
            <wp:extent cx="2766382" cy="19440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382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066A" w14:textId="77777777" w:rsidR="006D08D8" w:rsidRPr="006B2563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Гуманизм: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подчеркивание человеческого достоинства, уважение к индивидуальности пациента и забота о его благополучии. Медицина стремится к пониманию потребностей и ценностей каждого пациента.</w:t>
      </w:r>
    </w:p>
    <w:p w14:paraId="6088E64D" w14:textId="77777777" w:rsidR="006D08D8" w:rsidRPr="006B2563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Этика: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высокие стандарты профессиональной этики, включая принципы конфиденциальности, справедливости, беспристрастности и доверия. Врачи и медицинский персонал обязаны соблюдать этические нормы во всех аспектах своей практики.</w:t>
      </w:r>
    </w:p>
    <w:p w14:paraId="1C7D5897" w14:textId="6E0BBCDC" w:rsidR="00D5338E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Профессионализм: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к высокому уровню компетентности, постоянному профессиональному развитию и соблюдению стандартов качества заботы.</w:t>
      </w:r>
    </w:p>
    <w:p w14:paraId="06802820" w14:textId="77777777" w:rsidR="006D08D8" w:rsidRPr="006B2563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Пациентоцентризм</w:t>
      </w:r>
      <w:proofErr w:type="spellEnd"/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ориентация на потребности и предпочтения пациента. Врачи стремятся индивидуализировать лечение, учитывая физические, эмоциональные и социокультурные аспекты здоровья пациента.</w:t>
      </w:r>
    </w:p>
    <w:p w14:paraId="7D8FFD5B" w14:textId="0E444477" w:rsidR="006D08D8" w:rsidRPr="006B2563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Эквивалентность и справедливость </w:t>
      </w:r>
      <w:r w:rsidR="00E53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биотехнологии в медицинской сфер</w:t>
      </w:r>
      <w:r w:rsidR="00DA42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равного доступа к качественной медицинской помощи для всех людей независимо от их социального статуса, расовой принадлежности, пола или финансового положения.</w:t>
      </w:r>
    </w:p>
    <w:p w14:paraId="17F792EF" w14:textId="77777777" w:rsidR="006D08D8" w:rsidRPr="006B2563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Качество заботы: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устремление к непрерывному совершенствованию качества предоставляемой медицинской помощи. Это включает в себя применение лучших научных практик, оценку результатов лечения и обратную связь для улучшения процессов.</w:t>
      </w:r>
    </w:p>
    <w:p w14:paraId="0FCC8C81" w14:textId="77777777" w:rsidR="006D08D8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Ответственность перед обществом: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профессионалы и организации чувствуют ответственность перед обществом, участвуют в профилактике общественных заболеваний и вносят вклад в улучшение здоровья общества.</w:t>
      </w:r>
    </w:p>
    <w:p w14:paraId="6828C0C8" w14:textId="77777777" w:rsidR="006D08D8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основе международного соглашения между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097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университет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  <w:t>ом</w:t>
      </w:r>
      <w:r w:rsidRPr="00097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им. </w:t>
      </w:r>
      <w:proofErr w:type="spellStart"/>
      <w:r w:rsidRPr="00097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М.Ауезова</w:t>
      </w:r>
      <w:proofErr w:type="spellEnd"/>
      <w:r w:rsidRPr="00097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остановились на </w:t>
      </w:r>
      <w:r w:rsidRPr="00EA0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A0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научно-методических пособий и учебно-рабочих планов на основе утвержденных нормативных документов. Внедрить их в процесс учебы, занятии (лабораторные и практические), по организации самостоятельных работ.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386079AD" w14:textId="77777777" w:rsidR="006D08D8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C54F4E" w14:textId="77777777" w:rsidR="006D08D8" w:rsidRPr="006D08D8" w:rsidRDefault="006D08D8" w:rsidP="006D08D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D55D16" w14:textId="77777777" w:rsidR="00D5338E" w:rsidRDefault="00D5338E" w:rsidP="00D5338E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Доцент кафедры </w:t>
      </w:r>
      <w:r w:rsidRPr="00D533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«Семейная медицина </w:t>
      </w:r>
    </w:p>
    <w:p w14:paraId="7973C42F" w14:textId="675B1939" w:rsidR="00D5338E" w:rsidRPr="00017592" w:rsidRDefault="00D5338E" w:rsidP="00D5338E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33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акушерстве и гинекологии» </w:t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БухМИ</w:t>
      </w:r>
      <w:proofErr w:type="spellEnd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Хотамова</w:t>
      </w:r>
      <w:proofErr w:type="spellEnd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М.Т.</w:t>
      </w:r>
    </w:p>
    <w:p w14:paraId="0BA554A8" w14:textId="77777777" w:rsidR="00D5338E" w:rsidRPr="00FA6546" w:rsidRDefault="00D5338E" w:rsidP="00E5412A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sectPr w:rsidR="00D5338E" w:rsidRPr="00FA6546" w:rsidSect="008E6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3AA"/>
    <w:multiLevelType w:val="multilevel"/>
    <w:tmpl w:val="628C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684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C1"/>
    <w:rsid w:val="00001859"/>
    <w:rsid w:val="00007B8C"/>
    <w:rsid w:val="00021358"/>
    <w:rsid w:val="000463F2"/>
    <w:rsid w:val="0006283F"/>
    <w:rsid w:val="00095FED"/>
    <w:rsid w:val="000C2A96"/>
    <w:rsid w:val="000C680A"/>
    <w:rsid w:val="001004ED"/>
    <w:rsid w:val="0010790E"/>
    <w:rsid w:val="00116509"/>
    <w:rsid w:val="001617B5"/>
    <w:rsid w:val="00162B07"/>
    <w:rsid w:val="00166A7F"/>
    <w:rsid w:val="001701A9"/>
    <w:rsid w:val="001706CF"/>
    <w:rsid w:val="001A4429"/>
    <w:rsid w:val="001D573B"/>
    <w:rsid w:val="001E2270"/>
    <w:rsid w:val="001E3331"/>
    <w:rsid w:val="002337E2"/>
    <w:rsid w:val="00242B43"/>
    <w:rsid w:val="00270BEB"/>
    <w:rsid w:val="002B48EC"/>
    <w:rsid w:val="002B4C24"/>
    <w:rsid w:val="003163DA"/>
    <w:rsid w:val="003475B7"/>
    <w:rsid w:val="00362E40"/>
    <w:rsid w:val="00363877"/>
    <w:rsid w:val="003912CF"/>
    <w:rsid w:val="0039564A"/>
    <w:rsid w:val="003C6EBB"/>
    <w:rsid w:val="003F7220"/>
    <w:rsid w:val="0042132A"/>
    <w:rsid w:val="00430E13"/>
    <w:rsid w:val="00431E3A"/>
    <w:rsid w:val="0045507E"/>
    <w:rsid w:val="004D18FC"/>
    <w:rsid w:val="00500A98"/>
    <w:rsid w:val="00506305"/>
    <w:rsid w:val="005969CD"/>
    <w:rsid w:val="005B049B"/>
    <w:rsid w:val="005D583C"/>
    <w:rsid w:val="005F56A2"/>
    <w:rsid w:val="00644723"/>
    <w:rsid w:val="006842BF"/>
    <w:rsid w:val="00694C9D"/>
    <w:rsid w:val="006B2E26"/>
    <w:rsid w:val="006C3FA4"/>
    <w:rsid w:val="006D08D8"/>
    <w:rsid w:val="006E713E"/>
    <w:rsid w:val="0070021D"/>
    <w:rsid w:val="00703771"/>
    <w:rsid w:val="0071694C"/>
    <w:rsid w:val="0074082C"/>
    <w:rsid w:val="007638DC"/>
    <w:rsid w:val="00784A68"/>
    <w:rsid w:val="007913FA"/>
    <w:rsid w:val="00791CC5"/>
    <w:rsid w:val="0081749F"/>
    <w:rsid w:val="0082431F"/>
    <w:rsid w:val="008615ED"/>
    <w:rsid w:val="008625B1"/>
    <w:rsid w:val="00862F07"/>
    <w:rsid w:val="008E43D6"/>
    <w:rsid w:val="008E6CC1"/>
    <w:rsid w:val="008F33E3"/>
    <w:rsid w:val="00916535"/>
    <w:rsid w:val="009742E0"/>
    <w:rsid w:val="009B78D2"/>
    <w:rsid w:val="009F419F"/>
    <w:rsid w:val="00A1034E"/>
    <w:rsid w:val="00A32FFD"/>
    <w:rsid w:val="00A63191"/>
    <w:rsid w:val="00AF0025"/>
    <w:rsid w:val="00B448D4"/>
    <w:rsid w:val="00B53F15"/>
    <w:rsid w:val="00B61609"/>
    <w:rsid w:val="00B740F7"/>
    <w:rsid w:val="00BB0668"/>
    <w:rsid w:val="00BD4A77"/>
    <w:rsid w:val="00C106CD"/>
    <w:rsid w:val="00C43435"/>
    <w:rsid w:val="00C47484"/>
    <w:rsid w:val="00C922DB"/>
    <w:rsid w:val="00CA65EF"/>
    <w:rsid w:val="00CB1265"/>
    <w:rsid w:val="00D14084"/>
    <w:rsid w:val="00D37933"/>
    <w:rsid w:val="00D5036A"/>
    <w:rsid w:val="00D52AA2"/>
    <w:rsid w:val="00D5338E"/>
    <w:rsid w:val="00DA42C7"/>
    <w:rsid w:val="00DD2536"/>
    <w:rsid w:val="00DE2E58"/>
    <w:rsid w:val="00DE3E8B"/>
    <w:rsid w:val="00E0591E"/>
    <w:rsid w:val="00E07D17"/>
    <w:rsid w:val="00E33AF7"/>
    <w:rsid w:val="00E51719"/>
    <w:rsid w:val="00E535EA"/>
    <w:rsid w:val="00E5412A"/>
    <w:rsid w:val="00ED63ED"/>
    <w:rsid w:val="00EF21A9"/>
    <w:rsid w:val="00F25DA2"/>
    <w:rsid w:val="00F86928"/>
    <w:rsid w:val="00F86F56"/>
    <w:rsid w:val="00FA6546"/>
    <w:rsid w:val="00FC0213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5528"/>
  <w15:chartTrackingRefBased/>
  <w15:docId w15:val="{02A4E8B5-8171-4E47-A57D-24FDCE1F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E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E6CC1"/>
    <w:rPr>
      <w:b/>
      <w:bCs/>
    </w:rPr>
  </w:style>
  <w:style w:type="character" w:styleId="a4">
    <w:name w:val="Hyperlink"/>
    <w:basedOn w:val="a0"/>
    <w:uiPriority w:val="99"/>
    <w:unhideWhenUsed/>
    <w:rsid w:val="008E6CC1"/>
    <w:rPr>
      <w:color w:val="0000FF"/>
      <w:u w:val="single"/>
    </w:rPr>
  </w:style>
  <w:style w:type="character" w:customStyle="1" w:styleId="3">
    <w:name w:val="Основной текст + Полужирный3"/>
    <w:aliases w:val="Интервал 1 pt1"/>
    <w:rsid w:val="00EF21A9"/>
    <w:rPr>
      <w:rFonts w:ascii="Times New Roman" w:hAnsi="Times New Roman" w:cs="Times New Roman" w:hint="default"/>
      <w:b/>
      <w:bCs/>
      <w:spacing w:val="30"/>
      <w:sz w:val="23"/>
      <w:szCs w:val="23"/>
    </w:rPr>
  </w:style>
  <w:style w:type="table" w:customStyle="1" w:styleId="11">
    <w:name w:val="Сетка таблицы1"/>
    <w:basedOn w:val="a1"/>
    <w:rsid w:val="00EF21A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6C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39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35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0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6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Ума - Даня</cp:lastModifiedBy>
  <cp:revision>109</cp:revision>
  <dcterms:created xsi:type="dcterms:W3CDTF">2024-12-19T05:40:00Z</dcterms:created>
  <dcterms:modified xsi:type="dcterms:W3CDTF">2025-05-06T14:15:00Z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icrosoft Theme" pid="2">
    <vt:lpwstr>Redacted 011</vt:lpwstr>
  </property>
  <property fmtid="{D5CDD505-2E9C-101B-9397-08002B2CF9AE}" name="NXPowerLiteLastOptimized" pid="3">
    <vt:lpwstr>407738</vt:lpwstr>
  </property>
  <property fmtid="{D5CDD505-2E9C-101B-9397-08002B2CF9AE}" name="NXPowerLiteSettings" pid="4">
    <vt:lpwstr>C7000400038000</vt:lpwstr>
  </property>
  <property fmtid="{D5CDD505-2E9C-101B-9397-08002B2CF9AE}" name="NXPowerLiteVersion" pid="5">
    <vt:lpwstr>S10.3.1</vt:lpwstr>
  </property>
</Properties>
</file>